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9072" w:type="dxa"/>
        <w:tblCellMar>
          <w:left w:w="70" w:type="dxa"/>
          <w:right w:w="70" w:type="dxa"/>
        </w:tblCellMar>
        <w:tblLook w:val="04A0" w:firstRow="1" w:lastRow="0" w:firstColumn="1" w:lastColumn="0" w:noHBand="0" w:noVBand="1"/>
      </w:tblPr>
      <w:tblGrid>
        <w:gridCol w:w="2836"/>
        <w:gridCol w:w="291"/>
        <w:gridCol w:w="5945"/>
      </w:tblGrid>
      <w:tr w:rsidR="00451AFD" w:rsidTr="008511B5">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945" w:type="dxa"/>
            <w:hideMark/>
          </w:tcPr>
          <w:p w:rsidR="00451AFD" w:rsidRDefault="000358C0" w:rsidP="00B0148B">
            <w:pPr>
              <w:spacing w:line="240" w:lineRule="auto"/>
              <w:rPr>
                <w:rFonts w:ascii="Times New Roman" w:hAnsi="Times New Roman" w:cs="Times New Roman"/>
                <w:b/>
              </w:rPr>
            </w:pPr>
            <w:r>
              <w:rPr>
                <w:rFonts w:ascii="Times New Roman" w:hAnsi="Times New Roman" w:cs="Times New Roman"/>
                <w:b/>
              </w:rPr>
              <w:t>05</w:t>
            </w:r>
            <w:r w:rsidR="001A6DB9">
              <w:rPr>
                <w:rFonts w:ascii="Times New Roman" w:hAnsi="Times New Roman" w:cs="Times New Roman"/>
                <w:b/>
              </w:rPr>
              <w:t>/01/2017</w:t>
            </w:r>
          </w:p>
        </w:tc>
      </w:tr>
      <w:tr w:rsidR="00451AFD" w:rsidTr="008511B5">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945"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451AFD">
              <w:rPr>
                <w:rFonts w:ascii="Times New Roman" w:hAnsi="Times New Roman" w:cs="Times New Roman"/>
                <w:b/>
              </w:rPr>
              <w:t>/0</w:t>
            </w:r>
            <w:r w:rsidR="004908A6">
              <w:rPr>
                <w:rFonts w:ascii="Times New Roman" w:hAnsi="Times New Roman" w:cs="Times New Roman"/>
                <w:b/>
              </w:rPr>
              <w:t>7</w:t>
            </w:r>
          </w:p>
        </w:tc>
      </w:tr>
      <w:tr w:rsidR="00451AFD" w:rsidTr="008511B5">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945" w:type="dxa"/>
            <w:vAlign w:val="center"/>
            <w:hideMark/>
          </w:tcPr>
          <w:p w:rsidR="00451AFD" w:rsidRPr="008511B5" w:rsidRDefault="000358C0" w:rsidP="00CC3F52">
            <w:pPr>
              <w:spacing w:after="120" w:line="360" w:lineRule="auto"/>
              <w:jc w:val="both"/>
              <w:rPr>
                <w:rFonts w:ascii="Times New Roman" w:hAnsi="Times New Roman" w:cs="Times New Roman"/>
                <w:b/>
              </w:rPr>
            </w:pPr>
            <w:r w:rsidRPr="008511B5">
              <w:rPr>
                <w:rFonts w:ascii="Times New Roman" w:hAnsi="Times New Roman" w:cs="Times New Roman"/>
                <w:b/>
                <w:szCs w:val="24"/>
              </w:rPr>
              <w:t>Otomatik Bireysel Emeklilik Sistemine Kademeli Geçişe İlişkin Yönetmelik</w:t>
            </w:r>
          </w:p>
        </w:tc>
      </w:tr>
    </w:tbl>
    <w:p w:rsidR="001A6DB9" w:rsidRDefault="001A6DB9" w:rsidP="00451AFD">
      <w:pPr>
        <w:ind w:left="426" w:hanging="426"/>
        <w:rPr>
          <w:rFonts w:ascii="Times New Roman" w:eastAsia="Times New Roman" w:hAnsi="Times New Roman" w:cs="Times New Roman"/>
          <w:b/>
          <w:bCs/>
          <w:kern w:val="36"/>
          <w:lang w:eastAsia="tr-TR"/>
        </w:rPr>
      </w:pPr>
    </w:p>
    <w:p w:rsidR="000358C0" w:rsidRPr="00C34338" w:rsidRDefault="000358C0" w:rsidP="00C34338">
      <w:pPr>
        <w:ind w:firstLine="708"/>
        <w:jc w:val="both"/>
        <w:rPr>
          <w:rFonts w:ascii="Times New Roman" w:hAnsi="Times New Roman" w:cs="Times New Roman"/>
        </w:rPr>
      </w:pPr>
      <w:r w:rsidRPr="00C34338">
        <w:rPr>
          <w:rFonts w:ascii="Times New Roman" w:hAnsi="Times New Roman" w:cs="Times New Roman"/>
        </w:rPr>
        <w:t xml:space="preserve">25.08.2016 tarih ve 29812 sayılı Resmi </w:t>
      </w:r>
      <w:proofErr w:type="spellStart"/>
      <w:r w:rsidRPr="00C34338">
        <w:rPr>
          <w:rFonts w:ascii="Times New Roman" w:hAnsi="Times New Roman" w:cs="Times New Roman"/>
        </w:rPr>
        <w:t>Gazete’de</w:t>
      </w:r>
      <w:proofErr w:type="spellEnd"/>
      <w:r w:rsidRPr="00C34338">
        <w:rPr>
          <w:rFonts w:ascii="Times New Roman" w:hAnsi="Times New Roman" w:cs="Times New Roman"/>
        </w:rPr>
        <w:t xml:space="preserve"> yayımlanarak yürürlüğe giren 6740 sayılı Bireysel Emeklilik Tasarruf ve Yatırım Sistemi Kanununda Değişiklik Yapılmasına Dair Kanun ile 4632 sayılı Bireysel Emeklilik Tasarruf ve Yatırım Sistemi Kanunu’na Ek Madde-2 ve Geçici Madde-2 hükümleri </w:t>
      </w:r>
      <w:proofErr w:type="spellStart"/>
      <w:r w:rsidRPr="00C34338">
        <w:rPr>
          <w:rFonts w:ascii="Times New Roman" w:hAnsi="Times New Roman" w:cs="Times New Roman"/>
        </w:rPr>
        <w:t>eklenmişti.Eklenen</w:t>
      </w:r>
      <w:proofErr w:type="spellEnd"/>
      <w:r w:rsidRPr="00C34338">
        <w:rPr>
          <w:rFonts w:ascii="Times New Roman" w:hAnsi="Times New Roman" w:cs="Times New Roman"/>
        </w:rPr>
        <w:t xml:space="preserve"> bu madde hükümleri uyarınca; 01.01.2017 tarihi itibariyle 5510 sayılı Sosyal Sigortalar Kanunu’nun 4/a (eski </w:t>
      </w:r>
      <w:proofErr w:type="spellStart"/>
      <w:r w:rsidRPr="00C34338">
        <w:rPr>
          <w:rFonts w:ascii="Times New Roman" w:hAnsi="Times New Roman" w:cs="Times New Roman"/>
        </w:rPr>
        <w:t>SGK’lı</w:t>
      </w:r>
      <w:proofErr w:type="spellEnd"/>
      <w:r w:rsidRPr="00C34338">
        <w:rPr>
          <w:rFonts w:ascii="Times New Roman" w:hAnsi="Times New Roman" w:cs="Times New Roman"/>
        </w:rPr>
        <w:t>) ve 4/c (eski Emekliği Sandığı üyesi) maddesine göre çalışan ve 01.01.2017 tarihi itibariyle 45 yaşını doldurmamış olanların işverenin düzenlediği bir emeklilik sözleşmesiyle emeklilik planına dahil edileceği hükme bağlanmıştı.</w:t>
      </w:r>
    </w:p>
    <w:p w:rsidR="000358C0" w:rsidRPr="00C34338" w:rsidRDefault="000358C0" w:rsidP="00C34338">
      <w:pPr>
        <w:ind w:firstLine="708"/>
        <w:jc w:val="both"/>
        <w:rPr>
          <w:rFonts w:ascii="Times New Roman" w:hAnsi="Times New Roman" w:cs="Times New Roman"/>
        </w:rPr>
      </w:pPr>
      <w:r w:rsidRPr="00C34338">
        <w:rPr>
          <w:rFonts w:ascii="Times New Roman" w:hAnsi="Times New Roman" w:cs="Times New Roman"/>
        </w:rPr>
        <w:t xml:space="preserve">Daha sonra 17.12.2016 tarih ve 29921 sayılı Resmi </w:t>
      </w:r>
      <w:proofErr w:type="spellStart"/>
      <w:r w:rsidRPr="00C34338">
        <w:rPr>
          <w:rFonts w:ascii="Times New Roman" w:hAnsi="Times New Roman" w:cs="Times New Roman"/>
        </w:rPr>
        <w:t>Gazete’de</w:t>
      </w:r>
      <w:proofErr w:type="spellEnd"/>
      <w:r w:rsidRPr="00C34338">
        <w:rPr>
          <w:rFonts w:ascii="Times New Roman" w:hAnsi="Times New Roman" w:cs="Times New Roman"/>
        </w:rPr>
        <w:t xml:space="preserve"> Hazine Müsteşarlığı’nca yayımlanan Bireysel Emeklilik Sistemi Hakkında Yönetmelikte Değişiklik Yapılmasına Dair Yönetmelik ile Otomatik Bireysel Emeklilik Sistemine ilişkin düzenlemeler Bireysel Emeklilik Sistemi Hakkında Yönetmelik’e eklenmiştir.</w:t>
      </w:r>
    </w:p>
    <w:p w:rsidR="000358C0" w:rsidRPr="00C34338" w:rsidRDefault="000358C0" w:rsidP="00C34338">
      <w:pPr>
        <w:ind w:firstLine="708"/>
        <w:jc w:val="both"/>
        <w:rPr>
          <w:rFonts w:ascii="Times New Roman" w:hAnsi="Times New Roman" w:cs="Times New Roman"/>
        </w:rPr>
      </w:pPr>
      <w:r w:rsidRPr="00C34338">
        <w:rPr>
          <w:rFonts w:ascii="Times New Roman" w:hAnsi="Times New Roman" w:cs="Times New Roman"/>
        </w:rPr>
        <w:t xml:space="preserve">Bu defa, 2 Ocak 2017 tarih ve 29936 sayılı Resmi </w:t>
      </w:r>
      <w:proofErr w:type="spellStart"/>
      <w:r w:rsidRPr="00C34338">
        <w:rPr>
          <w:rFonts w:ascii="Times New Roman" w:hAnsi="Times New Roman" w:cs="Times New Roman"/>
        </w:rPr>
        <w:t>Gazete’de</w:t>
      </w:r>
      <w:proofErr w:type="spellEnd"/>
      <w:r w:rsidRPr="00C34338">
        <w:rPr>
          <w:rFonts w:ascii="Times New Roman" w:hAnsi="Times New Roman" w:cs="Times New Roman"/>
        </w:rPr>
        <w:t xml:space="preserve"> yayımlanan 2017/9721 sayılı Bakanlar Kurulu Kararı ile “Çalışanların İşverenleri Aracılığıyla Otomatik Olarak Emeklilik Planına Dahil Edilmesine İlişkin Usul ve Esaslar Hakkında Yönetmelik” 1 Ocak 2017 tarihinden itibaren geçerli olmak üzere yürürlüğe girmiş olup, söz konusu yönetmelikle özel sektörde yer alan işverenlerin çalıştırdıkları işçi sayısına göre Otomatik Bireysel Emeklilik Sistemine kademeli olarak geçmeleri öngörülmüştür.</w:t>
      </w:r>
    </w:p>
    <w:p w:rsidR="000358C0" w:rsidRPr="00C34338" w:rsidRDefault="000358C0" w:rsidP="00C34338">
      <w:pPr>
        <w:spacing w:before="120"/>
        <w:ind w:firstLine="708"/>
        <w:jc w:val="both"/>
        <w:rPr>
          <w:rFonts w:ascii="Times New Roman" w:hAnsi="Times New Roman" w:cs="Times New Roman"/>
        </w:rPr>
      </w:pPr>
      <w:r w:rsidRPr="00C34338">
        <w:rPr>
          <w:rFonts w:ascii="Times New Roman" w:hAnsi="Times New Roman" w:cs="Times New Roman"/>
        </w:rPr>
        <w:t xml:space="preserve">Söz konusu yönetmelik hükümlerine göre; bu Yönetmelik kapsamında olup, 5510 sayılı Sosyal Sigortalar Kanunu’nun 4/a (eski </w:t>
      </w:r>
      <w:proofErr w:type="spellStart"/>
      <w:r w:rsidRPr="00C34338">
        <w:rPr>
          <w:rFonts w:ascii="Times New Roman" w:hAnsi="Times New Roman" w:cs="Times New Roman"/>
        </w:rPr>
        <w:t>SGK’lı</w:t>
      </w:r>
      <w:proofErr w:type="spellEnd"/>
      <w:r w:rsidRPr="00C34338">
        <w:rPr>
          <w:rFonts w:ascii="Times New Roman" w:hAnsi="Times New Roman" w:cs="Times New Roman"/>
        </w:rPr>
        <w:t xml:space="preserve">) maddesine göre özel sektörde istihdam edilen çalışanlar, işverenin bir veya birden fazla emeklilik şirketi ile imzalamış olduğu sözleşme kapsamında aşağıdaki tarihlerden başlayarak ilgili bireysel emeklilik planına dahil edileceklerdir. Bu çerçevede;                                                                                 </w:t>
      </w:r>
    </w:p>
    <w:p w:rsidR="000358C0" w:rsidRPr="00C34338" w:rsidRDefault="000358C0" w:rsidP="000358C0">
      <w:pPr>
        <w:pStyle w:val="NormalWeb"/>
        <w:spacing w:before="120" w:beforeAutospacing="0" w:after="120" w:line="360" w:lineRule="auto"/>
        <w:jc w:val="both"/>
        <w:rPr>
          <w:b/>
          <w:bCs/>
          <w:sz w:val="22"/>
          <w:szCs w:val="22"/>
        </w:rPr>
      </w:pPr>
      <w:r w:rsidRPr="00C34338">
        <w:rPr>
          <w:sz w:val="22"/>
          <w:szCs w:val="22"/>
        </w:rPr>
        <w:t xml:space="preserve">a) Çalışan sayısı </w:t>
      </w:r>
      <w:r w:rsidRPr="00C34338">
        <w:rPr>
          <w:sz w:val="22"/>
          <w:szCs w:val="22"/>
          <w:u w:val="single"/>
        </w:rPr>
        <w:t>bin ve üzerinde</w:t>
      </w:r>
      <w:r w:rsidRPr="00C34338">
        <w:rPr>
          <w:sz w:val="22"/>
          <w:szCs w:val="22"/>
        </w:rPr>
        <w:t xml:space="preserve"> olan bir işverene bağlı olarak çalışanlar </w:t>
      </w:r>
      <w:r w:rsidRPr="00C34338">
        <w:rPr>
          <w:sz w:val="22"/>
          <w:szCs w:val="22"/>
          <w:u w:val="single"/>
        </w:rPr>
        <w:t>1 Ocak 2017</w:t>
      </w:r>
      <w:r w:rsidRPr="00C34338">
        <w:rPr>
          <w:sz w:val="22"/>
          <w:szCs w:val="22"/>
        </w:rPr>
        <w:t xml:space="preserve"> tarihinden itibaren,</w:t>
      </w:r>
    </w:p>
    <w:p w:rsidR="000358C0" w:rsidRPr="00C34338" w:rsidRDefault="000358C0" w:rsidP="000358C0">
      <w:pPr>
        <w:pStyle w:val="NormalWeb"/>
        <w:spacing w:before="120" w:beforeAutospacing="0" w:after="120" w:line="360" w:lineRule="auto"/>
        <w:jc w:val="both"/>
        <w:rPr>
          <w:b/>
          <w:bCs/>
          <w:sz w:val="22"/>
          <w:szCs w:val="22"/>
        </w:rPr>
      </w:pPr>
      <w:r w:rsidRPr="00C34338">
        <w:rPr>
          <w:sz w:val="22"/>
          <w:szCs w:val="22"/>
        </w:rPr>
        <w:t xml:space="preserve">b) Çalışan sayısı </w:t>
      </w:r>
      <w:r w:rsidRPr="00C34338">
        <w:rPr>
          <w:sz w:val="22"/>
          <w:szCs w:val="22"/>
          <w:u w:val="single"/>
        </w:rPr>
        <w:t>iki yüz elli ve üzerinde</w:t>
      </w:r>
      <w:r w:rsidRPr="00C34338">
        <w:rPr>
          <w:sz w:val="22"/>
          <w:szCs w:val="22"/>
        </w:rPr>
        <w:t xml:space="preserve"> ancak </w:t>
      </w:r>
      <w:r w:rsidRPr="00C34338">
        <w:rPr>
          <w:sz w:val="22"/>
          <w:szCs w:val="22"/>
          <w:u w:val="single"/>
        </w:rPr>
        <w:t xml:space="preserve">binden az </w:t>
      </w:r>
      <w:r w:rsidRPr="00C34338">
        <w:rPr>
          <w:sz w:val="22"/>
          <w:szCs w:val="22"/>
        </w:rPr>
        <w:t xml:space="preserve">olan bir işverene bağlı olarak çalışanlar </w:t>
      </w:r>
      <w:r w:rsidRPr="00C34338">
        <w:rPr>
          <w:sz w:val="22"/>
          <w:szCs w:val="22"/>
          <w:u w:val="single"/>
        </w:rPr>
        <w:t>1 Nisan 2017</w:t>
      </w:r>
      <w:r w:rsidRPr="00C34338">
        <w:rPr>
          <w:sz w:val="22"/>
          <w:szCs w:val="22"/>
        </w:rPr>
        <w:t xml:space="preserve"> tarihinden itibaren, </w:t>
      </w:r>
    </w:p>
    <w:p w:rsidR="000358C0" w:rsidRPr="00C34338" w:rsidRDefault="000358C0" w:rsidP="000358C0">
      <w:pPr>
        <w:pStyle w:val="NormalWeb"/>
        <w:spacing w:before="120" w:beforeAutospacing="0" w:after="120" w:line="360" w:lineRule="auto"/>
        <w:jc w:val="both"/>
        <w:rPr>
          <w:sz w:val="22"/>
          <w:szCs w:val="22"/>
        </w:rPr>
      </w:pPr>
      <w:r w:rsidRPr="00C34338">
        <w:rPr>
          <w:sz w:val="22"/>
          <w:szCs w:val="22"/>
        </w:rPr>
        <w:t xml:space="preserve">c) Çalışan sayısı </w:t>
      </w:r>
      <w:r w:rsidRPr="00C34338">
        <w:rPr>
          <w:sz w:val="22"/>
          <w:szCs w:val="22"/>
          <w:u w:val="single"/>
        </w:rPr>
        <w:t>yüz ve üzerinde</w:t>
      </w:r>
      <w:r w:rsidRPr="00C34338">
        <w:rPr>
          <w:sz w:val="22"/>
          <w:szCs w:val="22"/>
        </w:rPr>
        <w:t xml:space="preserve"> ancak </w:t>
      </w:r>
      <w:r w:rsidRPr="00C34338">
        <w:rPr>
          <w:sz w:val="22"/>
          <w:szCs w:val="22"/>
          <w:u w:val="single"/>
        </w:rPr>
        <w:t>iki yüz elliden az</w:t>
      </w:r>
      <w:r w:rsidRPr="00C34338">
        <w:rPr>
          <w:sz w:val="22"/>
          <w:szCs w:val="22"/>
        </w:rPr>
        <w:t xml:space="preserve"> olan bir işverene bağlı olarak çalışanlar </w:t>
      </w:r>
      <w:r w:rsidRPr="00C34338">
        <w:rPr>
          <w:sz w:val="22"/>
          <w:szCs w:val="22"/>
          <w:u w:val="single"/>
        </w:rPr>
        <w:t>1 Temmuz 2017</w:t>
      </w:r>
      <w:r w:rsidRPr="00C34338">
        <w:rPr>
          <w:sz w:val="22"/>
          <w:szCs w:val="22"/>
        </w:rPr>
        <w:t xml:space="preserve"> tarihinden itibaren,</w:t>
      </w:r>
    </w:p>
    <w:p w:rsidR="000358C0" w:rsidRPr="00C34338" w:rsidRDefault="000358C0" w:rsidP="000358C0">
      <w:pPr>
        <w:pStyle w:val="NormalWeb"/>
        <w:spacing w:before="120" w:beforeAutospacing="0" w:after="120" w:line="360" w:lineRule="auto"/>
        <w:jc w:val="both"/>
        <w:rPr>
          <w:sz w:val="22"/>
          <w:szCs w:val="22"/>
        </w:rPr>
      </w:pPr>
      <w:r w:rsidRPr="00C34338">
        <w:rPr>
          <w:sz w:val="22"/>
          <w:szCs w:val="22"/>
        </w:rPr>
        <w:t xml:space="preserve">ç) Çalışan sayısı </w:t>
      </w:r>
      <w:r w:rsidRPr="00C34338">
        <w:rPr>
          <w:sz w:val="22"/>
          <w:szCs w:val="22"/>
          <w:u w:val="single"/>
        </w:rPr>
        <w:t>elli ve üzerinde</w:t>
      </w:r>
      <w:r w:rsidRPr="00C34338">
        <w:rPr>
          <w:sz w:val="22"/>
          <w:szCs w:val="22"/>
        </w:rPr>
        <w:t xml:space="preserve"> ancak </w:t>
      </w:r>
      <w:r w:rsidRPr="00C34338">
        <w:rPr>
          <w:sz w:val="22"/>
          <w:szCs w:val="22"/>
          <w:u w:val="single"/>
        </w:rPr>
        <w:t>yüzden az</w:t>
      </w:r>
      <w:r w:rsidRPr="00C34338">
        <w:rPr>
          <w:sz w:val="22"/>
          <w:szCs w:val="22"/>
        </w:rPr>
        <w:t xml:space="preserve"> olan bir işverene bağlı olarak çalışanlar  </w:t>
      </w:r>
      <w:r w:rsidRPr="00C34338">
        <w:rPr>
          <w:sz w:val="22"/>
          <w:szCs w:val="22"/>
          <w:u w:val="single"/>
        </w:rPr>
        <w:t>1 Ocak 2018</w:t>
      </w:r>
      <w:r w:rsidRPr="00C34338">
        <w:rPr>
          <w:sz w:val="22"/>
          <w:szCs w:val="22"/>
        </w:rPr>
        <w:t xml:space="preserve"> tarihinden itibaren, </w:t>
      </w:r>
    </w:p>
    <w:p w:rsidR="000358C0" w:rsidRPr="00C34338" w:rsidRDefault="000358C0" w:rsidP="000358C0">
      <w:pPr>
        <w:pStyle w:val="NormalWeb"/>
        <w:spacing w:before="120" w:beforeAutospacing="0" w:after="120" w:line="360" w:lineRule="auto"/>
        <w:jc w:val="both"/>
        <w:rPr>
          <w:sz w:val="22"/>
          <w:szCs w:val="22"/>
        </w:rPr>
      </w:pPr>
      <w:r w:rsidRPr="00C34338">
        <w:rPr>
          <w:sz w:val="22"/>
          <w:szCs w:val="22"/>
        </w:rPr>
        <w:lastRenderedPageBreak/>
        <w:t xml:space="preserve">d) Çalışan sayısı </w:t>
      </w:r>
      <w:r w:rsidRPr="00C34338">
        <w:rPr>
          <w:sz w:val="22"/>
          <w:szCs w:val="22"/>
          <w:u w:val="single"/>
        </w:rPr>
        <w:t>on ve üzerinde</w:t>
      </w:r>
      <w:r w:rsidRPr="00C34338">
        <w:rPr>
          <w:sz w:val="22"/>
          <w:szCs w:val="22"/>
        </w:rPr>
        <w:t xml:space="preserve"> ancak </w:t>
      </w:r>
      <w:r w:rsidRPr="00C34338">
        <w:rPr>
          <w:sz w:val="22"/>
          <w:szCs w:val="22"/>
          <w:u w:val="single"/>
        </w:rPr>
        <w:t xml:space="preserve">elliden az </w:t>
      </w:r>
      <w:r w:rsidRPr="00C34338">
        <w:rPr>
          <w:sz w:val="22"/>
          <w:szCs w:val="22"/>
        </w:rPr>
        <w:t xml:space="preserve">olan bir işverene bağlı olarak çalışanlar   </w:t>
      </w:r>
      <w:r w:rsidRPr="00C34338">
        <w:rPr>
          <w:sz w:val="22"/>
          <w:szCs w:val="22"/>
          <w:u w:val="single"/>
        </w:rPr>
        <w:t>1 Temmuz 2018</w:t>
      </w:r>
      <w:r w:rsidRPr="00C34338">
        <w:rPr>
          <w:sz w:val="22"/>
          <w:szCs w:val="22"/>
        </w:rPr>
        <w:t xml:space="preserve"> tarihinden itibaren,</w:t>
      </w:r>
    </w:p>
    <w:p w:rsidR="000358C0" w:rsidRPr="00C34338" w:rsidRDefault="000358C0" w:rsidP="000358C0">
      <w:pPr>
        <w:pStyle w:val="NormalWeb"/>
        <w:spacing w:before="120" w:beforeAutospacing="0" w:after="120" w:line="360" w:lineRule="auto"/>
        <w:jc w:val="both"/>
        <w:rPr>
          <w:sz w:val="22"/>
          <w:szCs w:val="22"/>
        </w:rPr>
      </w:pPr>
      <w:r w:rsidRPr="00C34338">
        <w:rPr>
          <w:sz w:val="22"/>
          <w:szCs w:val="22"/>
        </w:rPr>
        <w:t xml:space="preserve">e) Çalışan sayısı </w:t>
      </w:r>
      <w:r w:rsidRPr="00C34338">
        <w:rPr>
          <w:sz w:val="22"/>
          <w:szCs w:val="22"/>
          <w:u w:val="single"/>
        </w:rPr>
        <w:t>beş ve üzerinde</w:t>
      </w:r>
      <w:r w:rsidRPr="00C34338">
        <w:rPr>
          <w:sz w:val="22"/>
          <w:szCs w:val="22"/>
        </w:rPr>
        <w:t xml:space="preserve"> ancak </w:t>
      </w:r>
      <w:r w:rsidRPr="00C34338">
        <w:rPr>
          <w:sz w:val="22"/>
          <w:szCs w:val="22"/>
          <w:u w:val="single"/>
        </w:rPr>
        <w:t>ondan az</w:t>
      </w:r>
      <w:r w:rsidRPr="00C34338">
        <w:rPr>
          <w:sz w:val="22"/>
          <w:szCs w:val="22"/>
        </w:rPr>
        <w:t xml:space="preserve"> olan bir işverene bağlı olarak çalışanlar   </w:t>
      </w:r>
      <w:r w:rsidRPr="00C34338">
        <w:rPr>
          <w:sz w:val="22"/>
          <w:szCs w:val="22"/>
          <w:u w:val="single"/>
        </w:rPr>
        <w:t>1 Ocak 2019</w:t>
      </w:r>
      <w:r w:rsidRPr="00C34338">
        <w:rPr>
          <w:sz w:val="22"/>
          <w:szCs w:val="22"/>
        </w:rPr>
        <w:t xml:space="preserve"> tarihinden itibaren,</w:t>
      </w:r>
    </w:p>
    <w:p w:rsidR="000358C0" w:rsidRPr="00C34338" w:rsidRDefault="000358C0" w:rsidP="000358C0">
      <w:pPr>
        <w:pStyle w:val="NormalWeb"/>
        <w:spacing w:before="120" w:beforeAutospacing="0" w:after="120" w:line="360" w:lineRule="auto"/>
        <w:jc w:val="both"/>
        <w:rPr>
          <w:sz w:val="22"/>
          <w:szCs w:val="22"/>
        </w:rPr>
      </w:pPr>
      <w:r w:rsidRPr="00C34338">
        <w:rPr>
          <w:sz w:val="22"/>
          <w:szCs w:val="22"/>
        </w:rPr>
        <w:t>anılan Yönetmelik kapsamında otomatik olarak</w:t>
      </w:r>
      <w:r w:rsidRPr="00C34338">
        <w:rPr>
          <w:rStyle w:val="Normal1"/>
          <w:sz w:val="22"/>
          <w:szCs w:val="22"/>
        </w:rPr>
        <w:t xml:space="preserve"> emeklilik planına </w:t>
      </w:r>
      <w:r w:rsidRPr="00C34338">
        <w:rPr>
          <w:sz w:val="22"/>
          <w:szCs w:val="22"/>
        </w:rPr>
        <w:t>dahil edileceklerdir.</w:t>
      </w:r>
    </w:p>
    <w:p w:rsidR="000358C0" w:rsidRPr="00C34338" w:rsidRDefault="000358C0" w:rsidP="00F50E51">
      <w:pPr>
        <w:pStyle w:val="NormalWeb"/>
        <w:spacing w:before="120" w:beforeAutospacing="0" w:after="120" w:line="360" w:lineRule="auto"/>
        <w:ind w:firstLine="708"/>
        <w:jc w:val="both"/>
        <w:rPr>
          <w:sz w:val="22"/>
          <w:szCs w:val="22"/>
        </w:rPr>
      </w:pPr>
      <w:r w:rsidRPr="00C34338">
        <w:rPr>
          <w:sz w:val="22"/>
          <w:szCs w:val="22"/>
        </w:rPr>
        <w:t xml:space="preserve">Bu belirtilen tarihlerde veya bu tarihlerden daha sonra kapsama dahil işverenlere bağlı çalışmaya başlayanlar, hizmet akdinin yürürlüğe girmesiyle kendiliğinden emeklilik planına dahil edileceklerdir. </w:t>
      </w:r>
    </w:p>
    <w:p w:rsidR="000358C0" w:rsidRPr="00C34338" w:rsidRDefault="000358C0" w:rsidP="00F50E51">
      <w:pPr>
        <w:pStyle w:val="NormalWeb"/>
        <w:spacing w:before="120" w:beforeAutospacing="0" w:after="120" w:line="360" w:lineRule="auto"/>
        <w:ind w:firstLine="708"/>
        <w:jc w:val="both"/>
        <w:rPr>
          <w:sz w:val="22"/>
          <w:szCs w:val="22"/>
        </w:rPr>
      </w:pPr>
      <w:r w:rsidRPr="00C34338">
        <w:rPr>
          <w:sz w:val="22"/>
          <w:szCs w:val="22"/>
        </w:rPr>
        <w:t>Bu kapsamda çalışan sayısının belirlenmesinde, birden fazla işyeri olan işverenler için bütün işyerlerindeki çalışanların toplamı göz önünde bulundurulacaktır.</w:t>
      </w:r>
    </w:p>
    <w:p w:rsidR="000358C0" w:rsidRPr="00C34338" w:rsidRDefault="000358C0" w:rsidP="00F50E51">
      <w:pPr>
        <w:pStyle w:val="NormalWeb"/>
        <w:spacing w:before="120" w:beforeAutospacing="0" w:after="120" w:line="360" w:lineRule="auto"/>
        <w:ind w:firstLine="708"/>
        <w:jc w:val="both"/>
        <w:rPr>
          <w:sz w:val="22"/>
          <w:szCs w:val="22"/>
        </w:rPr>
      </w:pPr>
      <w:bookmarkStart w:id="0" w:name="_GoBack"/>
      <w:bookmarkEnd w:id="0"/>
      <w:r w:rsidRPr="00C34338">
        <w:rPr>
          <w:sz w:val="22"/>
          <w:szCs w:val="22"/>
        </w:rPr>
        <w:t>Çalışan sayılarının tespitinde, yukarıda belirtilen kapsama alınma tarihleri itibarıyla geçerli Sosyal Güvenlik Kurumu verileri dikkate alınacak olup, kapsama alınma tarihini izleyen dönemler bakımından ise bu tarihi izleyen takvim yılı başları esas alınacaktır. Bir defa kapsama alınan işverenin çalışan sayısında, kapsama alınma tarihini müteakip gerçekleşen azalmalar dikkate alınmayacaktır.</w:t>
      </w: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5B6D6F" w:rsidRPr="003234D4" w:rsidRDefault="00C06156" w:rsidP="005A0077">
      <w:pPr>
        <w:ind w:left="426" w:hanging="426"/>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sectPr w:rsidR="005B6D6F"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F50E51">
    <w:pPr>
      <w:pStyle w:val="AltBilgi"/>
    </w:pPr>
    <w:r>
      <w:pict>
        <v:rect id="_x0000_i1025" style="width:453.6pt;height:1.5pt" o:hralign="center" o:hrstd="t" o:hr="t" fillcolor="#a0a0a0" stroked="f"/>
      </w:pict>
    </w:r>
  </w:p>
  <w:p w:rsidR="0075285C" w:rsidRDefault="003B27E1">
    <w:pPr>
      <w:pStyle w:val="AltBilgi"/>
    </w:pPr>
    <w:r>
      <w:tab/>
      <w:t xml:space="preserve">Bağlar Mh.Osman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358C0"/>
    <w:rsid w:val="00084120"/>
    <w:rsid w:val="000B522C"/>
    <w:rsid w:val="00146135"/>
    <w:rsid w:val="00147418"/>
    <w:rsid w:val="001711DF"/>
    <w:rsid w:val="001950C8"/>
    <w:rsid w:val="001A6DB9"/>
    <w:rsid w:val="001B59AC"/>
    <w:rsid w:val="001C2D2C"/>
    <w:rsid w:val="001C53A0"/>
    <w:rsid w:val="00234BD7"/>
    <w:rsid w:val="002D4690"/>
    <w:rsid w:val="00311E70"/>
    <w:rsid w:val="003234D4"/>
    <w:rsid w:val="00371F60"/>
    <w:rsid w:val="003B27E1"/>
    <w:rsid w:val="003F6B08"/>
    <w:rsid w:val="00451AFD"/>
    <w:rsid w:val="004608F5"/>
    <w:rsid w:val="0046186A"/>
    <w:rsid w:val="004908A6"/>
    <w:rsid w:val="00507CAA"/>
    <w:rsid w:val="005263DB"/>
    <w:rsid w:val="005303A6"/>
    <w:rsid w:val="00571F37"/>
    <w:rsid w:val="005A0077"/>
    <w:rsid w:val="005B6D4B"/>
    <w:rsid w:val="005B6D6F"/>
    <w:rsid w:val="005C3CD7"/>
    <w:rsid w:val="006662A4"/>
    <w:rsid w:val="0070602B"/>
    <w:rsid w:val="007454BB"/>
    <w:rsid w:val="0075285C"/>
    <w:rsid w:val="00782078"/>
    <w:rsid w:val="007C530F"/>
    <w:rsid w:val="008511B5"/>
    <w:rsid w:val="00873646"/>
    <w:rsid w:val="00941C57"/>
    <w:rsid w:val="009F3F3E"/>
    <w:rsid w:val="00A734CE"/>
    <w:rsid w:val="00AB7B58"/>
    <w:rsid w:val="00AD4809"/>
    <w:rsid w:val="00B279FF"/>
    <w:rsid w:val="00BD06A8"/>
    <w:rsid w:val="00C06156"/>
    <w:rsid w:val="00C34338"/>
    <w:rsid w:val="00C73CDB"/>
    <w:rsid w:val="00C91DB5"/>
    <w:rsid w:val="00CA39AB"/>
    <w:rsid w:val="00CC3F52"/>
    <w:rsid w:val="00DA0B2B"/>
    <w:rsid w:val="00DD5C20"/>
    <w:rsid w:val="00E252BD"/>
    <w:rsid w:val="00E54DC6"/>
    <w:rsid w:val="00EB5933"/>
    <w:rsid w:val="00F0274E"/>
    <w:rsid w:val="00F50E51"/>
    <w:rsid w:val="00F567A6"/>
    <w:rsid w:val="00F81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08881B0"/>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79815-4CA1-466C-A8D9-83BAADB5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9</cp:revision>
  <cp:lastPrinted>2015-07-22T07:47:00Z</cp:lastPrinted>
  <dcterms:created xsi:type="dcterms:W3CDTF">2017-02-11T10:09:00Z</dcterms:created>
  <dcterms:modified xsi:type="dcterms:W3CDTF">2017-03-21T08:16:00Z</dcterms:modified>
</cp:coreProperties>
</file>